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9" w:type="dxa"/>
        <w:tblInd w:w="180" w:type="dxa"/>
        <w:shd w:val="clear" w:color="auto" w:fill="FFFFFF"/>
        <w:tblLook w:val="04A0" w:firstRow="1" w:lastRow="0" w:firstColumn="1" w:lastColumn="0" w:noHBand="0" w:noVBand="1"/>
      </w:tblPr>
      <w:tblGrid>
        <w:gridCol w:w="9689"/>
      </w:tblGrid>
      <w:tr w:rsidR="00B43512" w:rsidTr="00B43512">
        <w:trPr>
          <w:trHeight w:val="198"/>
        </w:trPr>
        <w:tc>
          <w:tcPr>
            <w:tcW w:w="9689" w:type="dxa"/>
            <w:shd w:val="clear" w:color="auto" w:fill="FFFFFF"/>
            <w:vAlign w:val="center"/>
            <w:hideMark/>
          </w:tcPr>
          <w:p w:rsidR="00B43512" w:rsidRDefault="00B43512">
            <w:pPr>
              <w:pStyle w:val="xxmsonormal"/>
              <w:shd w:val="clear" w:color="auto" w:fill="FFFFFF"/>
              <w:rPr>
                <w:rFonts w:ascii="Calibri" w:hAnsi="Calibri" w:cs="Calibri"/>
                <w:color w:val="201F1E"/>
                <w:sz w:val="22"/>
                <w:szCs w:val="22"/>
              </w:rPr>
            </w:pPr>
            <w:r>
              <w:rPr>
                <w:b/>
                <w:bCs/>
                <w:color w:val="2F5496"/>
                <w:bdr w:val="none" w:sz="0" w:space="0" w:color="auto" w:frame="1"/>
                <w:lang w:val="en-GB"/>
              </w:rPr>
              <w:t> </w:t>
            </w:r>
          </w:p>
          <w:p w:rsidR="00B43512" w:rsidRDefault="00B43512">
            <w:pPr>
              <w:pStyle w:val="xxmsonormal"/>
              <w:shd w:val="clear" w:color="auto" w:fill="FFFFFF"/>
              <w:jc w:val="center"/>
              <w:rPr>
                <w:rFonts w:ascii="Calibri" w:hAnsi="Calibri" w:cs="Calibri"/>
                <w:color w:val="201F1E"/>
                <w:sz w:val="22"/>
                <w:szCs w:val="22"/>
              </w:rPr>
            </w:pPr>
            <w:r>
              <w:rPr>
                <w:b/>
                <w:bCs/>
                <w:color w:val="0070C0"/>
                <w:bdr w:val="none" w:sz="0" w:space="0" w:color="auto" w:frame="1"/>
                <w:lang w:val="en-GB"/>
              </w:rPr>
              <w:t>THÔNG BÁO CHƯƠNG TRÌNH PHÁ CỖ TRUNG THU,</w:t>
            </w:r>
          </w:p>
          <w:p w:rsidR="00B43512" w:rsidRDefault="00B43512">
            <w:pPr>
              <w:pStyle w:val="xxmsonormal"/>
              <w:shd w:val="clear" w:color="auto" w:fill="FFFFFF"/>
              <w:jc w:val="center"/>
              <w:rPr>
                <w:rFonts w:ascii="Calibri" w:hAnsi="Calibri" w:cs="Calibri"/>
                <w:color w:val="201F1E"/>
                <w:sz w:val="22"/>
                <w:szCs w:val="22"/>
              </w:rPr>
            </w:pPr>
            <w:r>
              <w:rPr>
                <w:b/>
                <w:bCs/>
                <w:color w:val="0070C0"/>
                <w:bdr w:val="none" w:sz="0" w:space="0" w:color="auto" w:frame="1"/>
                <w:lang w:val="en-GB"/>
              </w:rPr>
              <w:t>TẶNG BÉ VÉ NGAO DU</w:t>
            </w:r>
          </w:p>
          <w:p w:rsidR="00B43512" w:rsidRDefault="00B43512">
            <w:pPr>
              <w:pStyle w:val="xxmsonormal"/>
              <w:shd w:val="clear" w:color="auto" w:fill="FFFFFF"/>
              <w:jc w:val="both"/>
              <w:rPr>
                <w:rFonts w:ascii="Calibri" w:hAnsi="Calibri" w:cs="Calibri"/>
                <w:color w:val="201F1E"/>
                <w:sz w:val="22"/>
                <w:szCs w:val="22"/>
              </w:rPr>
            </w:pPr>
            <w:r>
              <w:rPr>
                <w:b/>
                <w:bCs/>
                <w:color w:val="000000"/>
                <w:bdr w:val="none" w:sz="0" w:space="0" w:color="auto" w:frame="1"/>
                <w:lang w:val="en-GB"/>
              </w:rPr>
              <w:t> </w:t>
            </w:r>
          </w:p>
          <w:p w:rsidR="00B43512" w:rsidRDefault="00B43512">
            <w:pPr>
              <w:pStyle w:val="xxmsonormal"/>
              <w:shd w:val="clear" w:color="auto" w:fill="FFFFFF"/>
              <w:jc w:val="both"/>
              <w:rPr>
                <w:rFonts w:ascii="Calibri" w:hAnsi="Calibri" w:cs="Calibri"/>
                <w:color w:val="201F1E"/>
                <w:sz w:val="22"/>
                <w:szCs w:val="22"/>
              </w:rPr>
            </w:pPr>
            <w:r>
              <w:rPr>
                <w:b/>
                <w:bCs/>
                <w:color w:val="000000"/>
                <w:bdr w:val="none" w:sz="0" w:space="0" w:color="auto" w:frame="1"/>
                <w:lang w:val="en-GB"/>
              </w:rPr>
              <w:t>Kính gửi</w:t>
            </w:r>
            <w:r>
              <w:rPr>
                <w:color w:val="000000"/>
                <w:bdr w:val="none" w:sz="0" w:space="0" w:color="auto" w:frame="1"/>
                <w:lang w:val="en-GB"/>
              </w:rPr>
              <w:t>: </w:t>
            </w:r>
            <w:r>
              <w:rPr>
                <w:i/>
                <w:iCs/>
                <w:color w:val="000000"/>
                <w:bdr w:val="none" w:sz="0" w:space="0" w:color="auto" w:frame="1"/>
                <w:lang w:val="en-GB"/>
              </w:rPr>
              <w:t>Quý Đại lý,</w:t>
            </w:r>
          </w:p>
          <w:p w:rsidR="00B43512" w:rsidRDefault="00B43512">
            <w:pPr>
              <w:pStyle w:val="xxmsonormal"/>
              <w:shd w:val="clear" w:color="auto" w:fill="FFFFFF"/>
              <w:jc w:val="both"/>
              <w:rPr>
                <w:rFonts w:ascii="Calibri" w:hAnsi="Calibri" w:cs="Calibri"/>
                <w:color w:val="201F1E"/>
                <w:sz w:val="22"/>
                <w:szCs w:val="22"/>
              </w:rPr>
            </w:pPr>
            <w:r>
              <w:rPr>
                <w:rFonts w:ascii="Calibri" w:hAnsi="Calibri" w:cs="Calibri"/>
                <w:color w:val="201F1E"/>
                <w:sz w:val="22"/>
                <w:szCs w:val="22"/>
              </w:rPr>
              <w:t> </w:t>
            </w:r>
          </w:p>
          <w:p w:rsidR="00B43512" w:rsidRDefault="00B43512">
            <w:pPr>
              <w:pStyle w:val="xxmsonormal"/>
              <w:shd w:val="clear" w:color="auto" w:fill="FFFFFF"/>
              <w:jc w:val="both"/>
              <w:rPr>
                <w:rFonts w:ascii="Calibri" w:hAnsi="Calibri" w:cs="Calibri"/>
                <w:color w:val="201F1E"/>
                <w:sz w:val="22"/>
                <w:szCs w:val="22"/>
              </w:rPr>
            </w:pPr>
            <w:r>
              <w:rPr>
                <w:color w:val="000000"/>
                <w:bdr w:val="none" w:sz="0" w:space="0" w:color="auto" w:frame="1"/>
                <w:lang w:val="en-GB"/>
              </w:rPr>
              <w:t>Nhân dịp tết trung thu 2020, Bamboo Airways (BAV) trân trọng thông báo tới Quý Đại lý chương trình PHÁ CỖ TRUNG THU, TẶNG BÉ VÉ NGAO DU. Nội dung chi tiết như sau:</w:t>
            </w:r>
          </w:p>
          <w:p w:rsidR="00B43512" w:rsidRDefault="00B43512">
            <w:pPr>
              <w:pStyle w:val="xxmsonormal"/>
              <w:shd w:val="clear" w:color="auto" w:fill="FFFFFF"/>
              <w:jc w:val="both"/>
              <w:rPr>
                <w:rFonts w:ascii="Calibri" w:hAnsi="Calibri" w:cs="Calibri"/>
                <w:color w:val="201F1E"/>
                <w:sz w:val="22"/>
                <w:szCs w:val="22"/>
              </w:rPr>
            </w:pPr>
            <w:r>
              <w:rPr>
                <w:color w:val="000000"/>
                <w:bdr w:val="none" w:sz="0" w:space="0" w:color="auto" w:frame="1"/>
                <w:lang w:val="en-GB"/>
              </w:rPr>
              <w:t> </w:t>
            </w:r>
          </w:p>
          <w:p w:rsidR="00B43512" w:rsidRDefault="00B43512">
            <w:pPr>
              <w:pStyle w:val="xxmsolistparagraph"/>
              <w:spacing w:line="253" w:lineRule="atLeast"/>
              <w:ind w:left="435"/>
              <w:jc w:val="both"/>
              <w:rPr>
                <w:rFonts w:ascii="Calibri" w:hAnsi="Calibri" w:cs="Calibri"/>
                <w:color w:val="201F1E"/>
                <w:sz w:val="22"/>
                <w:szCs w:val="22"/>
              </w:rPr>
            </w:pPr>
            <w:r>
              <w:rPr>
                <w:b/>
                <w:bCs/>
                <w:color w:val="201F1E"/>
                <w:lang w:val="pt-BR"/>
              </w:rPr>
              <w:t>1.</w:t>
            </w:r>
            <w:r>
              <w:rPr>
                <w:b/>
                <w:bCs/>
                <w:color w:val="201F1E"/>
                <w:sz w:val="14"/>
                <w:szCs w:val="14"/>
                <w:lang w:val="pt-BR"/>
              </w:rPr>
              <w:t>   </w:t>
            </w:r>
            <w:r>
              <w:rPr>
                <w:b/>
                <w:bCs/>
                <w:color w:val="201F1E"/>
                <w:lang w:val="pt-BR"/>
              </w:rPr>
              <w:t>Phạm vi áp dụng</w:t>
            </w:r>
          </w:p>
          <w:p w:rsidR="00B43512" w:rsidRDefault="00B43512">
            <w:pPr>
              <w:pStyle w:val="xxmsonormal"/>
              <w:spacing w:line="253" w:lineRule="atLeast"/>
              <w:ind w:left="705" w:hanging="270"/>
              <w:jc w:val="both"/>
              <w:rPr>
                <w:rFonts w:ascii="Calibri" w:hAnsi="Calibri" w:cs="Calibri"/>
                <w:color w:val="201F1E"/>
                <w:sz w:val="22"/>
                <w:szCs w:val="22"/>
              </w:rPr>
            </w:pPr>
            <w:r>
              <w:rPr>
                <w:color w:val="201F1E"/>
                <w:lang w:val="pt-BR"/>
              </w:rPr>
              <w:t>•</w:t>
            </w:r>
            <w:r>
              <w:rPr>
                <w:color w:val="201F1E"/>
                <w:sz w:val="14"/>
                <w:szCs w:val="14"/>
                <w:lang w:val="pt-BR"/>
              </w:rPr>
              <w:t>      </w:t>
            </w:r>
            <w:r>
              <w:rPr>
                <w:color w:val="201F1E"/>
                <w:lang w:val="pt-BR"/>
              </w:rPr>
              <w:t>Kênh bán &amp; đối tượng áp dụng: tất cả kênh bán của Bamboo Airways.</w:t>
            </w:r>
          </w:p>
          <w:p w:rsidR="00B43512" w:rsidRDefault="00B43512">
            <w:pPr>
              <w:pStyle w:val="xxmsonormal"/>
              <w:spacing w:line="253" w:lineRule="atLeast"/>
              <w:ind w:left="705" w:hanging="270"/>
              <w:jc w:val="both"/>
              <w:rPr>
                <w:rFonts w:ascii="Calibri" w:hAnsi="Calibri" w:cs="Calibri"/>
                <w:color w:val="201F1E"/>
                <w:sz w:val="22"/>
                <w:szCs w:val="22"/>
              </w:rPr>
            </w:pPr>
            <w:r>
              <w:rPr>
                <w:color w:val="201F1E"/>
                <w:lang w:val="pt-BR"/>
              </w:rPr>
              <w:t>•</w:t>
            </w:r>
            <w:r>
              <w:rPr>
                <w:color w:val="201F1E"/>
                <w:sz w:val="14"/>
                <w:szCs w:val="14"/>
                <w:lang w:val="pt-BR"/>
              </w:rPr>
              <w:t>      </w:t>
            </w:r>
            <w:r>
              <w:rPr>
                <w:color w:val="201F1E"/>
                <w:lang w:val="pt-BR"/>
              </w:rPr>
              <w:t>Thời gian bán: từ 01/10/2020 đến 23:59 ngày 02/10/2020 (02 ngày). Chương trình có thể kết thúc sớm hơn dự kiến khi số lượng vé miễn phí được sử dụng hết.</w:t>
            </w:r>
          </w:p>
          <w:p w:rsidR="00B43512" w:rsidRDefault="00B43512">
            <w:pPr>
              <w:pStyle w:val="xxmsonormal"/>
              <w:spacing w:line="253" w:lineRule="atLeast"/>
              <w:ind w:left="705" w:hanging="270"/>
              <w:jc w:val="both"/>
              <w:rPr>
                <w:rFonts w:ascii="Calibri" w:hAnsi="Calibri" w:cs="Calibri"/>
                <w:color w:val="201F1E"/>
                <w:sz w:val="22"/>
                <w:szCs w:val="22"/>
              </w:rPr>
            </w:pPr>
            <w:r>
              <w:rPr>
                <w:color w:val="201F1E"/>
                <w:lang w:val="pt-BR"/>
              </w:rPr>
              <w:t>•</w:t>
            </w:r>
            <w:r>
              <w:rPr>
                <w:color w:val="201F1E"/>
                <w:sz w:val="14"/>
                <w:szCs w:val="14"/>
                <w:lang w:val="pt-BR"/>
              </w:rPr>
              <w:t>      </w:t>
            </w:r>
            <w:r>
              <w:rPr>
                <w:color w:val="201F1E"/>
                <w:lang w:val="pt-BR"/>
              </w:rPr>
              <w:t>Thời gian bay áp dụng: 01/10/2020 – 27/03/2021, đối với hạng Bamboo Business trừ giai đoạn 22/01- 28/02/2021.</w:t>
            </w:r>
          </w:p>
          <w:p w:rsidR="00B43512" w:rsidRDefault="00B43512">
            <w:pPr>
              <w:pStyle w:val="xxmsonormal"/>
              <w:ind w:left="705" w:hanging="270"/>
              <w:jc w:val="both"/>
              <w:rPr>
                <w:rFonts w:ascii="Calibri" w:hAnsi="Calibri" w:cs="Calibri"/>
                <w:color w:val="201F1E"/>
                <w:sz w:val="22"/>
                <w:szCs w:val="22"/>
              </w:rPr>
            </w:pPr>
            <w:r>
              <w:rPr>
                <w:color w:val="201F1E"/>
                <w:lang w:val="pt-BR"/>
              </w:rPr>
              <w:t>•</w:t>
            </w:r>
            <w:r>
              <w:rPr>
                <w:color w:val="201F1E"/>
                <w:sz w:val="14"/>
                <w:szCs w:val="14"/>
                <w:lang w:val="pt-BR"/>
              </w:rPr>
              <w:t>      </w:t>
            </w:r>
            <w:r>
              <w:rPr>
                <w:color w:val="201F1E"/>
                <w:lang w:val="pt-BR"/>
              </w:rPr>
              <w:t>Đường bay áp dụng: Tất cả các đường bay nội địa Bamboo Airways đang khai thác, trừ các đường bay đi và đến Côn Đảo, đường bay Hà Nội - Phú Quốc và Sài Gòn – Phú Quốc.</w:t>
            </w:r>
          </w:p>
          <w:p w:rsidR="00B43512" w:rsidRDefault="00B43512">
            <w:pPr>
              <w:pStyle w:val="xxmsonormal"/>
              <w:jc w:val="both"/>
              <w:rPr>
                <w:rFonts w:ascii="Calibri" w:hAnsi="Calibri" w:cs="Calibri"/>
                <w:color w:val="201F1E"/>
                <w:sz w:val="22"/>
                <w:szCs w:val="22"/>
              </w:rPr>
            </w:pPr>
            <w:r>
              <w:rPr>
                <w:color w:val="201F1E"/>
                <w:lang w:val="pt-BR"/>
              </w:rPr>
              <w:t> </w:t>
            </w:r>
          </w:p>
        </w:tc>
      </w:tr>
      <w:tr w:rsidR="00B43512" w:rsidTr="00B43512">
        <w:trPr>
          <w:trHeight w:val="4303"/>
        </w:trPr>
        <w:tc>
          <w:tcPr>
            <w:tcW w:w="9689" w:type="dxa"/>
            <w:shd w:val="clear" w:color="auto" w:fill="FFFFFF"/>
            <w:vAlign w:val="center"/>
            <w:hideMark/>
          </w:tcPr>
          <w:p w:rsidR="00B43512" w:rsidRDefault="00B43512">
            <w:pPr>
              <w:pStyle w:val="xmsonormal"/>
              <w:spacing w:line="253" w:lineRule="atLeast"/>
              <w:ind w:firstLine="435"/>
              <w:rPr>
                <w:rFonts w:ascii="Calibri" w:hAnsi="Calibri" w:cs="Calibri"/>
                <w:color w:val="201F1E"/>
                <w:sz w:val="22"/>
                <w:szCs w:val="22"/>
              </w:rPr>
            </w:pPr>
            <w:r>
              <w:rPr>
                <w:b/>
                <w:bCs/>
                <w:color w:val="201F1E"/>
                <w:lang w:val="pt-BR"/>
              </w:rPr>
              <w:t>2.  Chi tiết chương trình</w:t>
            </w:r>
          </w:p>
          <w:p w:rsidR="00B43512" w:rsidRDefault="00B43512">
            <w:pPr>
              <w:pStyle w:val="xmsonormal"/>
              <w:shd w:val="clear" w:color="auto" w:fill="FFFFFF"/>
              <w:ind w:firstLine="435"/>
              <w:jc w:val="both"/>
              <w:rPr>
                <w:rFonts w:ascii="Calibri" w:hAnsi="Calibri" w:cs="Calibri"/>
                <w:color w:val="201F1E"/>
                <w:sz w:val="22"/>
                <w:szCs w:val="22"/>
              </w:rPr>
            </w:pPr>
            <w:r>
              <w:rPr>
                <w:color w:val="201F1E"/>
                <w:lang w:val="pt-BR"/>
              </w:rPr>
              <w:t>Tặng vé miễn phí cho khách hàng là trẻ em (CHD) và trẻ sơ sinh (INF)</w:t>
            </w:r>
          </w:p>
          <w:p w:rsidR="00B43512" w:rsidRDefault="00B43512">
            <w:pPr>
              <w:pStyle w:val="xmsonormal"/>
              <w:shd w:val="clear" w:color="auto" w:fill="FFFFFF"/>
              <w:ind w:left="435"/>
              <w:jc w:val="both"/>
              <w:rPr>
                <w:rFonts w:ascii="Calibri" w:hAnsi="Calibri" w:cs="Calibri"/>
                <w:color w:val="201F1E"/>
                <w:sz w:val="22"/>
                <w:szCs w:val="22"/>
              </w:rPr>
            </w:pPr>
            <w:r>
              <w:rPr>
                <w:color w:val="201F1E"/>
                <w:lang w:val="pt-BR"/>
              </w:rPr>
              <w:t>Hạng giá vé áp dụng: Bamboo Eco và Bamboo Business</w:t>
            </w:r>
          </w:p>
          <w:p w:rsidR="00B43512" w:rsidRDefault="00B43512">
            <w:pPr>
              <w:pStyle w:val="xmsonormal"/>
              <w:shd w:val="clear" w:color="auto" w:fill="FFFFFF"/>
              <w:ind w:left="435"/>
              <w:jc w:val="both"/>
              <w:rPr>
                <w:rFonts w:ascii="Calibri" w:hAnsi="Calibri" w:cs="Calibri"/>
                <w:color w:val="201F1E"/>
                <w:sz w:val="22"/>
                <w:szCs w:val="22"/>
              </w:rPr>
            </w:pPr>
            <w:r>
              <w:rPr>
                <w:color w:val="201F1E"/>
                <w:lang w:val="pt-BR"/>
              </w:rPr>
              <w:t>Điều kiện áp dụng: theo điều kiện của hạng giá vé đã mua.</w:t>
            </w:r>
          </w:p>
          <w:p w:rsidR="00B43512" w:rsidRDefault="00B43512">
            <w:pPr>
              <w:pStyle w:val="xmsonormal"/>
              <w:shd w:val="clear" w:color="auto" w:fill="FFFFFF"/>
              <w:ind w:left="435"/>
              <w:jc w:val="both"/>
              <w:rPr>
                <w:rFonts w:ascii="Calibri" w:hAnsi="Calibri" w:cs="Calibri"/>
                <w:color w:val="201F1E"/>
                <w:sz w:val="22"/>
                <w:szCs w:val="22"/>
              </w:rPr>
            </w:pPr>
            <w:r>
              <w:rPr>
                <w:color w:val="201F1E"/>
                <w:lang w:val="pt-BR"/>
              </w:rPr>
              <w:t> </w:t>
            </w:r>
          </w:p>
          <w:p w:rsidR="00B43512" w:rsidRDefault="00B43512">
            <w:pPr>
              <w:pStyle w:val="xmsonormal"/>
              <w:shd w:val="clear" w:color="auto" w:fill="FFFFFF"/>
              <w:ind w:firstLine="435"/>
              <w:jc w:val="both"/>
              <w:rPr>
                <w:rFonts w:ascii="Calibri" w:hAnsi="Calibri" w:cs="Calibri"/>
                <w:color w:val="201F1E"/>
                <w:sz w:val="22"/>
                <w:szCs w:val="22"/>
              </w:rPr>
            </w:pPr>
            <w:r>
              <w:rPr>
                <w:b/>
                <w:bCs/>
                <w:i/>
                <w:iCs/>
                <w:color w:val="201F1E"/>
                <w:lang w:val="pt-BR"/>
              </w:rPr>
              <w:t>Lưu ý:</w:t>
            </w:r>
          </w:p>
          <w:p w:rsidR="00B43512" w:rsidRDefault="00B43512">
            <w:pPr>
              <w:pStyle w:val="xmsolistparagraph"/>
              <w:shd w:val="clear" w:color="auto" w:fill="FFFFFF"/>
              <w:ind w:left="720" w:hanging="360"/>
              <w:jc w:val="both"/>
              <w:rPr>
                <w:rFonts w:ascii="Calibri" w:hAnsi="Calibri" w:cs="Calibri"/>
                <w:color w:val="201F1E"/>
                <w:sz w:val="22"/>
                <w:szCs w:val="22"/>
              </w:rPr>
            </w:pPr>
            <w:r>
              <w:rPr>
                <w:rFonts w:ascii="Wingdings" w:hAnsi="Wingdings" w:cs="Calibri"/>
                <w:color w:val="201F1E"/>
                <w:lang w:val="pt-BR"/>
              </w:rPr>
              <w:t></w:t>
            </w:r>
            <w:r>
              <w:rPr>
                <w:color w:val="201F1E"/>
                <w:sz w:val="14"/>
                <w:szCs w:val="14"/>
                <w:lang w:val="pt-BR"/>
              </w:rPr>
              <w:t>  </w:t>
            </w:r>
            <w:r>
              <w:rPr>
                <w:color w:val="201F1E"/>
                <w:lang w:val="pt-BR"/>
              </w:rPr>
              <w:t>Miễn phí giá vé cơ sở (base fare)</w:t>
            </w:r>
          </w:p>
          <w:p w:rsidR="00B43512" w:rsidRDefault="00B43512">
            <w:pPr>
              <w:pStyle w:val="xmsolistparagraph"/>
              <w:shd w:val="clear" w:color="auto" w:fill="FFFFFF"/>
              <w:ind w:left="720" w:hanging="360"/>
              <w:jc w:val="both"/>
              <w:rPr>
                <w:rFonts w:ascii="Calibri" w:hAnsi="Calibri" w:cs="Calibri"/>
                <w:color w:val="201F1E"/>
                <w:sz w:val="22"/>
                <w:szCs w:val="22"/>
              </w:rPr>
            </w:pPr>
            <w:r>
              <w:rPr>
                <w:rFonts w:ascii="Wingdings" w:hAnsi="Wingdings" w:cs="Calibri"/>
                <w:color w:val="201F1E"/>
                <w:lang w:val="pt-BR"/>
              </w:rPr>
              <w:t></w:t>
            </w:r>
            <w:r>
              <w:rPr>
                <w:color w:val="201F1E"/>
                <w:sz w:val="14"/>
                <w:szCs w:val="14"/>
                <w:lang w:val="pt-BR"/>
              </w:rPr>
              <w:t>  </w:t>
            </w:r>
            <w:r>
              <w:rPr>
                <w:color w:val="201F1E"/>
                <w:lang w:val="pt-BR"/>
              </w:rPr>
              <w:t>Sau thời gian diễn ra chương trình, nếu khách hàng thực hiện thay đổi, vé CHD  phải thanh toán   phụ thu phí đổi + chênh lệch giá vé (trong đó chênh lệch = giá vé mới – 0VND)</w:t>
            </w:r>
          </w:p>
          <w:p w:rsidR="00B43512" w:rsidRDefault="00B43512">
            <w:pPr>
              <w:pStyle w:val="xmsolistparagraph"/>
              <w:shd w:val="clear" w:color="auto" w:fill="FFFFFF"/>
              <w:ind w:left="720" w:hanging="360"/>
              <w:jc w:val="both"/>
              <w:rPr>
                <w:rFonts w:ascii="Calibri" w:hAnsi="Calibri" w:cs="Calibri"/>
                <w:color w:val="201F1E"/>
                <w:sz w:val="22"/>
                <w:szCs w:val="22"/>
              </w:rPr>
            </w:pPr>
            <w:r>
              <w:rPr>
                <w:rFonts w:ascii="Wingdings" w:hAnsi="Wingdings" w:cs="Calibri"/>
                <w:color w:val="201F1E"/>
                <w:lang w:val="pt-BR"/>
              </w:rPr>
              <w:t></w:t>
            </w:r>
            <w:r>
              <w:rPr>
                <w:color w:val="201F1E"/>
                <w:sz w:val="14"/>
                <w:szCs w:val="14"/>
                <w:lang w:val="pt-BR"/>
              </w:rPr>
              <w:t>  </w:t>
            </w:r>
            <w:r>
              <w:rPr>
                <w:color w:val="201F1E"/>
                <w:lang w:val="pt-BR"/>
              </w:rPr>
              <w:t>Mọi trường hợp thực hiện thanh toán, xuất vé sau 23:59 ngày 02/10/2020, ưu đãi không còn hiệu lực và mức giá cao hơn sẽ được áp dụng.</w:t>
            </w:r>
          </w:p>
          <w:p w:rsidR="00B43512" w:rsidRDefault="00B43512">
            <w:pPr>
              <w:pStyle w:val="xmsonormal"/>
              <w:shd w:val="clear" w:color="auto" w:fill="FFFFFF"/>
              <w:ind w:left="255" w:hanging="90"/>
              <w:jc w:val="both"/>
              <w:rPr>
                <w:rFonts w:ascii="Calibri" w:hAnsi="Calibri" w:cs="Calibri"/>
                <w:color w:val="201F1E"/>
                <w:sz w:val="22"/>
                <w:szCs w:val="22"/>
              </w:rPr>
            </w:pPr>
            <w:r>
              <w:rPr>
                <w:color w:val="201F1E"/>
                <w:lang w:val="pt-BR"/>
              </w:rPr>
              <w:t>Mọi thắc mắc về chương trình, </w:t>
            </w:r>
            <w:r>
              <w:rPr>
                <w:color w:val="000000"/>
                <w:lang w:val="pt-BR"/>
              </w:rPr>
              <w:t>Quý Đại lý vui lòng liên hệ Tổng đài </w:t>
            </w:r>
            <w:r>
              <w:rPr>
                <w:b/>
                <w:bCs/>
                <w:color w:val="FF0000"/>
                <w:sz w:val="28"/>
                <w:szCs w:val="28"/>
                <w:lang w:val="pt-BR"/>
              </w:rPr>
              <w:t>19001166</w:t>
            </w:r>
            <w:r>
              <w:rPr>
                <w:color w:val="FF0000"/>
                <w:lang w:val="pt-BR"/>
              </w:rPr>
              <w:t> </w:t>
            </w:r>
            <w:r>
              <w:rPr>
                <w:color w:val="000000"/>
                <w:lang w:val="pt-BR"/>
              </w:rPr>
              <w:t>và Chuyên viên Phụ trách Đại lý để được hỗ trợ.</w:t>
            </w:r>
            <w:r>
              <w:rPr>
                <w:b/>
                <w:bCs/>
                <w:color w:val="2F5496"/>
                <w:bdr w:val="none" w:sz="0" w:space="0" w:color="auto" w:frame="1"/>
                <w:lang w:val="pt-BR"/>
              </w:rPr>
              <w:t>                               </w:t>
            </w:r>
          </w:p>
          <w:p w:rsidR="00B43512" w:rsidRDefault="00B43512">
            <w:pPr>
              <w:pStyle w:val="xmsonormal"/>
              <w:shd w:val="clear" w:color="auto" w:fill="FFFFFF"/>
              <w:jc w:val="both"/>
              <w:rPr>
                <w:rFonts w:ascii="Calibri" w:hAnsi="Calibri" w:cs="Calibri"/>
                <w:color w:val="201F1E"/>
                <w:sz w:val="22"/>
                <w:szCs w:val="22"/>
              </w:rPr>
            </w:pPr>
            <w:r>
              <w:rPr>
                <w:b/>
                <w:bCs/>
                <w:color w:val="2F5496"/>
                <w:bdr w:val="none" w:sz="0" w:space="0" w:color="auto" w:frame="1"/>
                <w:lang w:val="pt-BR"/>
              </w:rPr>
              <w:t>           </w:t>
            </w:r>
          </w:p>
        </w:tc>
      </w:tr>
      <w:tr w:rsidR="00B43512" w:rsidTr="00B43512">
        <w:trPr>
          <w:trHeight w:val="241"/>
        </w:trPr>
        <w:tc>
          <w:tcPr>
            <w:tcW w:w="9689" w:type="dxa"/>
            <w:shd w:val="clear" w:color="auto" w:fill="FFFFFF"/>
            <w:vAlign w:val="center"/>
            <w:hideMark/>
          </w:tcPr>
          <w:p w:rsidR="00B43512" w:rsidRDefault="00B43512">
            <w:pPr>
              <w:pStyle w:val="NormalWeb"/>
              <w:jc w:val="center"/>
              <w:rPr>
                <w:rFonts w:ascii="Calibri" w:hAnsi="Calibri" w:cs="Calibri"/>
                <w:color w:val="201F1E"/>
                <w:sz w:val="22"/>
                <w:szCs w:val="22"/>
              </w:rPr>
            </w:pPr>
            <w:r>
              <w:rPr>
                <w:b/>
                <w:bCs/>
                <w:i/>
                <w:iCs/>
                <w:color w:val="000000"/>
                <w:bdr w:val="none" w:sz="0" w:space="0" w:color="auto" w:frame="1"/>
                <w:lang w:val="pt-BR"/>
              </w:rPr>
              <w:t>Trân trọng thông báo và cảm ơn!</w:t>
            </w:r>
          </w:p>
        </w:tc>
      </w:tr>
    </w:tbl>
    <w:p w:rsidR="0018620C" w:rsidRDefault="0018620C">
      <w:bookmarkStart w:id="0" w:name="_GoBack"/>
      <w:bookmarkEnd w:id="0"/>
    </w:p>
    <w:sectPr w:rsidR="0018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12"/>
    <w:rsid w:val="0018620C"/>
    <w:rsid w:val="00B4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6A6F-ADEC-4B80-8E19-837AE88E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512"/>
  </w:style>
  <w:style w:type="paragraph" w:customStyle="1" w:styleId="xxmsonormal">
    <w:name w:val="x_xmsonormal"/>
    <w:basedOn w:val="Normal"/>
    <w:uiPriority w:val="99"/>
    <w:semiHidden/>
    <w:rsid w:val="00B43512"/>
  </w:style>
  <w:style w:type="paragraph" w:customStyle="1" w:styleId="xxmsolistparagraph">
    <w:name w:val="x_xmsolistparagraph"/>
    <w:basedOn w:val="Normal"/>
    <w:uiPriority w:val="99"/>
    <w:semiHidden/>
    <w:rsid w:val="00B43512"/>
  </w:style>
  <w:style w:type="paragraph" w:customStyle="1" w:styleId="xmsonormal">
    <w:name w:val="x_msonormal"/>
    <w:basedOn w:val="Normal"/>
    <w:uiPriority w:val="99"/>
    <w:semiHidden/>
    <w:rsid w:val="00B43512"/>
  </w:style>
  <w:style w:type="paragraph" w:customStyle="1" w:styleId="xmsolistparagraph">
    <w:name w:val="x_msolistparagraph"/>
    <w:basedOn w:val="Normal"/>
    <w:uiPriority w:val="99"/>
    <w:semiHidden/>
    <w:rsid w:val="00B4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2020-10-01T02:56:00Z</dcterms:created>
  <dcterms:modified xsi:type="dcterms:W3CDTF">2020-10-01T02:56:00Z</dcterms:modified>
</cp:coreProperties>
</file>